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76BDA" w14:textId="77777777" w:rsidR="008128A3" w:rsidRDefault="008128A3" w:rsidP="009C3DD8">
      <w:pPr>
        <w:rPr>
          <w:b/>
          <w:bCs/>
        </w:rPr>
      </w:pPr>
    </w:p>
    <w:p w14:paraId="5ACAAB06" w14:textId="77777777" w:rsidR="008128A3" w:rsidRPr="00FC2F7D" w:rsidRDefault="008128A3" w:rsidP="008128A3">
      <w:pPr>
        <w:rPr>
          <w:rFonts w:ascii="Calibri" w:eastAsia="Calibri" w:hAnsi="Calibri"/>
          <w:b/>
          <w:bCs/>
        </w:rPr>
      </w:pPr>
      <w:r w:rsidRPr="00FC2F7D">
        <w:rPr>
          <w:rFonts w:ascii="Calibri" w:eastAsia="Calibri" w:hAnsi="Calibri"/>
          <w:b/>
          <w:bCs/>
        </w:rPr>
        <w:t>Best Practice Guides for Effective Telehealth</w:t>
      </w:r>
    </w:p>
    <w:p w14:paraId="2C0FE8B0" w14:textId="77777777" w:rsidR="008128A3" w:rsidRDefault="008128A3" w:rsidP="008128A3">
      <w:pPr>
        <w:rPr>
          <w:rFonts w:ascii="Calibri" w:eastAsia="Calibri" w:hAnsi="Calibri"/>
        </w:rPr>
      </w:pPr>
      <w:r w:rsidRPr="00FC2F7D">
        <w:rPr>
          <w:rFonts w:ascii="Calibri" w:eastAsia="Calibri" w:hAnsi="Calibri"/>
        </w:rPr>
        <w:t xml:space="preserve">HRSA offers a selection of best practice guides to help providers make telehealth a successful part of their practice. The latest include </w:t>
      </w:r>
      <w:hyperlink r:id="rId7" w:history="1">
        <w:r w:rsidRPr="00FC2F7D">
          <w:rPr>
            <w:rStyle w:val="Hyperlink"/>
            <w:rFonts w:ascii="Calibri" w:eastAsia="Calibri" w:hAnsi="Calibri"/>
          </w:rPr>
          <w:t>Telehealth for American Indian and Alaska Native Communities</w:t>
        </w:r>
      </w:hyperlink>
      <w:r w:rsidRPr="00FC2F7D">
        <w:rPr>
          <w:rFonts w:ascii="Calibri" w:eastAsia="Calibri" w:hAnsi="Calibri"/>
        </w:rPr>
        <w:t xml:space="preserve"> and </w:t>
      </w:r>
      <w:hyperlink r:id="rId8" w:history="1">
        <w:r w:rsidRPr="00FC2F7D">
          <w:rPr>
            <w:rStyle w:val="Hyperlink"/>
            <w:rFonts w:ascii="Calibri" w:eastAsia="Calibri" w:hAnsi="Calibri"/>
          </w:rPr>
          <w:t>Telehealth for Rural Areas</w:t>
        </w:r>
      </w:hyperlink>
      <w:r w:rsidRPr="00FC2F7D">
        <w:rPr>
          <w:rFonts w:ascii="Calibri" w:eastAsia="Calibri" w:hAnsi="Calibri"/>
        </w:rPr>
        <w:t xml:space="preserve">. </w:t>
      </w:r>
      <w:r w:rsidRPr="00FC2F7D">
        <w:rPr>
          <w:rFonts w:eastAsia="Calibri" w:cstheme="minorHAnsi"/>
        </w:rPr>
        <w:t xml:space="preserve">See </w:t>
      </w:r>
      <w:hyperlink r:id="rId9" w:history="1">
        <w:r w:rsidRPr="00FC2F7D">
          <w:rPr>
            <w:rStyle w:val="Hyperlink"/>
            <w:rFonts w:cstheme="minorHAnsi"/>
          </w:rPr>
          <w:t>these and other best practice guides</w:t>
        </w:r>
      </w:hyperlink>
      <w:r w:rsidRPr="00FC2F7D">
        <w:t xml:space="preserve"> </w:t>
      </w:r>
      <w:r w:rsidRPr="00FC2F7D">
        <w:rPr>
          <w:rFonts w:ascii="Calibri" w:eastAsia="Calibri" w:hAnsi="Calibri"/>
        </w:rPr>
        <w:t xml:space="preserve">to maximize telehealth delivery </w:t>
      </w:r>
      <w:r w:rsidRPr="00FC2F7D">
        <w:rPr>
          <w:rFonts w:ascii="Agency FB" w:eastAsia="Calibri" w:hAnsi="Agency FB"/>
        </w:rPr>
        <w:t>—</w:t>
      </w:r>
      <w:r w:rsidRPr="00FC2F7D">
        <w:rPr>
          <w:rFonts w:ascii="Calibri" w:eastAsia="Calibri" w:hAnsi="Calibri"/>
        </w:rPr>
        <w:t xml:space="preserve"> available in English and </w:t>
      </w:r>
      <w:hyperlink r:id="rId10" w:history="1">
        <w:r w:rsidRPr="00FC2F7D">
          <w:rPr>
            <w:rStyle w:val="Hyperlink"/>
            <w:rFonts w:ascii="Calibri" w:eastAsia="Calibri" w:hAnsi="Calibri"/>
          </w:rPr>
          <w:t>Spanish</w:t>
        </w:r>
      </w:hyperlink>
      <w:r w:rsidRPr="00FC2F7D">
        <w:rPr>
          <w:rFonts w:ascii="Calibri" w:eastAsia="Calibri" w:hAnsi="Calibri"/>
        </w:rPr>
        <w:t>.</w:t>
      </w:r>
      <w:r>
        <w:rPr>
          <w:rFonts w:ascii="Calibri" w:eastAsia="Calibri" w:hAnsi="Calibri"/>
        </w:rPr>
        <w:t xml:space="preserve"> </w:t>
      </w:r>
    </w:p>
    <w:p w14:paraId="13E40398" w14:textId="77777777" w:rsidR="008128A3" w:rsidRDefault="008128A3" w:rsidP="008128A3">
      <w:pPr>
        <w:rPr>
          <w:rFonts w:ascii="Calibri" w:eastAsia="Calibri" w:hAnsi="Calibri"/>
          <w:b/>
          <w:bCs/>
        </w:rPr>
      </w:pPr>
    </w:p>
    <w:p w14:paraId="48D26429" w14:textId="04CEFD9C" w:rsidR="008128A3" w:rsidRPr="00FC2F7D" w:rsidRDefault="008128A3" w:rsidP="008128A3">
      <w:pPr>
        <w:rPr>
          <w:rFonts w:ascii="Calibri" w:eastAsia="Calibri" w:hAnsi="Calibri"/>
          <w:b/>
          <w:bCs/>
        </w:rPr>
      </w:pPr>
      <w:r w:rsidRPr="00682234">
        <w:rPr>
          <w:rFonts w:ascii="Calibri" w:eastAsia="Calibri" w:hAnsi="Calibri"/>
          <w:b/>
          <w:bCs/>
        </w:rPr>
        <w:t xml:space="preserve">5 </w:t>
      </w:r>
      <w:r w:rsidRPr="00FC2F7D">
        <w:rPr>
          <w:rFonts w:ascii="Calibri" w:eastAsia="Calibri" w:hAnsi="Calibri"/>
          <w:b/>
          <w:bCs/>
        </w:rPr>
        <w:t>Steps to Starting a Telehealth Practice</w:t>
      </w:r>
    </w:p>
    <w:p w14:paraId="4A596085" w14:textId="569BD5BA" w:rsidR="008128A3" w:rsidRPr="00682234" w:rsidRDefault="008128A3" w:rsidP="008128A3">
      <w:pPr>
        <w:rPr>
          <w:rFonts w:ascii="Calibri" w:eastAsia="Calibri" w:hAnsi="Calibri"/>
        </w:rPr>
      </w:pPr>
      <w:r w:rsidRPr="00FC2F7D">
        <w:rPr>
          <w:rFonts w:ascii="Calibri" w:eastAsia="Calibri" w:hAnsi="Calibri"/>
        </w:rPr>
        <w:t xml:space="preserve">Looking to further integrate telehealth into your medical practice? This useful tip sheet highlights the </w:t>
      </w:r>
      <w:hyperlink r:id="rId11" w:history="1">
        <w:r w:rsidRPr="00FC2F7D">
          <w:rPr>
            <w:rFonts w:ascii="Calibri" w:eastAsia="Calibri" w:hAnsi="Calibri"/>
            <w:color w:val="0563C1"/>
            <w:u w:val="single"/>
          </w:rPr>
          <w:t>five important steps</w:t>
        </w:r>
      </w:hyperlink>
      <w:r w:rsidRPr="00FC2F7D">
        <w:rPr>
          <w:rFonts w:ascii="Calibri" w:eastAsia="Calibri" w:hAnsi="Calibri"/>
        </w:rPr>
        <w:t xml:space="preserve"> you need to plan your telehealth workflow</w:t>
      </w:r>
      <w:r w:rsidR="008028A8">
        <w:rPr>
          <w:rFonts w:ascii="Calibri" w:eastAsia="Calibri" w:hAnsi="Calibri"/>
        </w:rPr>
        <w:t>.</w:t>
      </w:r>
    </w:p>
    <w:p w14:paraId="1E253E04" w14:textId="7AA08B04" w:rsidR="00DA3F79" w:rsidRDefault="00DA3F79" w:rsidP="009C3DD8"/>
    <w:p w14:paraId="7476596F" w14:textId="018C24F5" w:rsidR="008128A3" w:rsidRPr="00AB0FAF" w:rsidRDefault="008128A3" w:rsidP="008128A3">
      <w:pPr>
        <w:rPr>
          <w:rFonts w:ascii="Calibri" w:eastAsia="Calibri" w:hAnsi="Calibri"/>
          <w:b/>
          <w:bCs/>
        </w:rPr>
      </w:pPr>
      <w:r w:rsidRPr="00AB0FAF">
        <w:rPr>
          <w:rFonts w:ascii="Calibri" w:eastAsia="Calibri" w:hAnsi="Calibri"/>
          <w:b/>
          <w:bCs/>
        </w:rPr>
        <w:t>Successful Telehealth for Chronic Conditions</w:t>
      </w:r>
      <w:r>
        <w:rPr>
          <w:rFonts w:ascii="Calibri" w:eastAsia="Calibri" w:hAnsi="Calibri"/>
          <w:b/>
          <w:bCs/>
        </w:rPr>
        <w:t xml:space="preserve"> </w:t>
      </w:r>
    </w:p>
    <w:p w14:paraId="7B51F606" w14:textId="77777777" w:rsidR="008128A3" w:rsidRDefault="008128A3" w:rsidP="008128A3">
      <w:pPr>
        <w:rPr>
          <w:rFonts w:ascii="Calibri" w:eastAsia="Calibri" w:hAnsi="Calibri"/>
        </w:rPr>
      </w:pPr>
      <w:r w:rsidRPr="00AB0FAF">
        <w:rPr>
          <w:rFonts w:ascii="Calibri" w:eastAsia="Calibri" w:hAnsi="Calibri"/>
        </w:rPr>
        <w:t xml:space="preserve">Telehealth is a great </w:t>
      </w:r>
      <w:r>
        <w:rPr>
          <w:rFonts w:ascii="Calibri" w:eastAsia="Calibri" w:hAnsi="Calibri"/>
        </w:rPr>
        <w:t>tool</w:t>
      </w:r>
      <w:r>
        <w:rPr>
          <w:rStyle w:val="CommentReference"/>
        </w:rPr>
        <w:t xml:space="preserve"> </w:t>
      </w:r>
      <w:r>
        <w:rPr>
          <w:rFonts w:ascii="Calibri" w:eastAsia="Calibri" w:hAnsi="Calibri"/>
        </w:rPr>
        <w:t>fo</w:t>
      </w:r>
      <w:r w:rsidRPr="00AB0FAF">
        <w:rPr>
          <w:rFonts w:ascii="Calibri" w:eastAsia="Calibri" w:hAnsi="Calibri"/>
        </w:rPr>
        <w:t xml:space="preserve">r providers who </w:t>
      </w:r>
      <w:r w:rsidRPr="00FC2F7D">
        <w:rPr>
          <w:rFonts w:ascii="Calibri" w:eastAsia="Calibri" w:hAnsi="Calibri"/>
        </w:rPr>
        <w:t xml:space="preserve">want to help their patients manage their chronic conditions with more flexibility. </w:t>
      </w:r>
      <w:r w:rsidRPr="661063A9">
        <w:rPr>
          <w:rFonts w:ascii="Calibri" w:eastAsia="Calibri" w:hAnsi="Calibri"/>
        </w:rPr>
        <w:t xml:space="preserve">This </w:t>
      </w:r>
      <w:hyperlink r:id="rId12">
        <w:r w:rsidRPr="661063A9">
          <w:rPr>
            <w:rFonts w:ascii="Calibri" w:eastAsia="Calibri" w:hAnsi="Calibri"/>
            <w:color w:val="0563C1"/>
            <w:u w:val="single"/>
          </w:rPr>
          <w:t>best practice guide</w:t>
        </w:r>
      </w:hyperlink>
      <w:r w:rsidRPr="00AB0FAF">
        <w:rPr>
          <w:rFonts w:ascii="Calibri" w:eastAsia="Calibri" w:hAnsi="Calibri"/>
        </w:rPr>
        <w:t xml:space="preserve"> from </w:t>
      </w:r>
      <w:r>
        <w:rPr>
          <w:rFonts w:ascii="Calibri" w:eastAsia="Calibri" w:hAnsi="Calibri"/>
        </w:rPr>
        <w:t>HRSA</w:t>
      </w:r>
      <w:r w:rsidRPr="00AB0FAF">
        <w:rPr>
          <w:rFonts w:ascii="Calibri" w:eastAsia="Calibri" w:hAnsi="Calibri"/>
        </w:rPr>
        <w:t xml:space="preserve"> can </w:t>
      </w:r>
      <w:r>
        <w:rPr>
          <w:rFonts w:ascii="Calibri" w:eastAsia="Calibri" w:hAnsi="Calibri"/>
        </w:rPr>
        <w:t>give you the tools and confidence to</w:t>
      </w:r>
      <w:r w:rsidRPr="00AB0FAF">
        <w:rPr>
          <w:rFonts w:ascii="Calibri" w:eastAsia="Calibri" w:hAnsi="Calibri"/>
        </w:rPr>
        <w:t xml:space="preserve"> </w:t>
      </w:r>
      <w:r>
        <w:rPr>
          <w:rFonts w:ascii="Calibri" w:eastAsia="Calibri" w:hAnsi="Calibri"/>
        </w:rPr>
        <w:t>help your patients manage</w:t>
      </w:r>
      <w:r w:rsidRPr="00DD37BC">
        <w:rPr>
          <w:rFonts w:ascii="Calibri" w:eastAsia="Calibri" w:hAnsi="Calibri"/>
        </w:rPr>
        <w:t xml:space="preserve"> chronic conditions</w:t>
      </w:r>
      <w:r>
        <w:rPr>
          <w:rFonts w:ascii="Calibri" w:eastAsia="Calibri" w:hAnsi="Calibri"/>
        </w:rPr>
        <w:t xml:space="preserve"> using telehealth care services. </w:t>
      </w:r>
    </w:p>
    <w:p w14:paraId="7C020492" w14:textId="77777777" w:rsidR="008128A3" w:rsidRPr="009C3DD8" w:rsidRDefault="008128A3" w:rsidP="009C3DD8"/>
    <w:sectPr w:rsidR="008128A3" w:rsidRPr="009C3DD8" w:rsidSect="00563AF4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720" w:right="1440" w:bottom="720" w:left="1440" w:header="288" w:footer="129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439CC" w14:textId="77777777" w:rsidR="00A46B6B" w:rsidRDefault="00A46B6B" w:rsidP="001776E0">
      <w:pPr>
        <w:spacing w:after="0" w:line="240" w:lineRule="auto"/>
      </w:pPr>
      <w:r>
        <w:separator/>
      </w:r>
    </w:p>
  </w:endnote>
  <w:endnote w:type="continuationSeparator" w:id="0">
    <w:p w14:paraId="1CF1C64D" w14:textId="77777777" w:rsidR="00A46B6B" w:rsidRDefault="00A46B6B" w:rsidP="00177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dTable4-Accent6"/>
      <w:tblW w:w="5000" w:type="pct"/>
      <w:tblLook w:val="04A0" w:firstRow="1" w:lastRow="0" w:firstColumn="1" w:lastColumn="0" w:noHBand="0" w:noVBand="1"/>
    </w:tblPr>
    <w:tblGrid>
      <w:gridCol w:w="4681"/>
      <w:gridCol w:w="4669"/>
    </w:tblGrid>
    <w:tr w:rsidR="00DA3F79" w14:paraId="3D3BE140" w14:textId="77777777" w:rsidTr="008655E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115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686" w:type="dxa"/>
        </w:tcPr>
        <w:p w14:paraId="5943035D" w14:textId="67457DA2" w:rsidR="00DA3F79" w:rsidRDefault="00DA3F79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</w:tcPr>
        <w:p w14:paraId="7AE4F946" w14:textId="77777777" w:rsidR="00DA3F79" w:rsidRDefault="00DA3F79">
          <w:pPr>
            <w:pStyle w:val="Header"/>
            <w:tabs>
              <w:tab w:val="clear" w:pos="4680"/>
              <w:tab w:val="clear" w:pos="9360"/>
            </w:tabs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aps/>
              <w:sz w:val="18"/>
            </w:rPr>
          </w:pPr>
        </w:p>
      </w:tc>
    </w:tr>
    <w:tr w:rsidR="00DA3F79" w14:paraId="628B439C" w14:textId="77777777" w:rsidTr="008655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686" w:type="dxa"/>
        </w:tcPr>
        <w:p w14:paraId="3D3D209A" w14:textId="3CA20352" w:rsidR="00DA3F79" w:rsidRDefault="00DA3F79">
          <w:pPr>
            <w:pStyle w:val="Footer"/>
            <w:tabs>
              <w:tab w:val="clear" w:pos="4680"/>
              <w:tab w:val="clear" w:pos="9360"/>
            </w:tabs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</w:tcPr>
        <w:p w14:paraId="6D18914E" w14:textId="77777777" w:rsidR="00DA3F79" w:rsidRPr="00D631ED" w:rsidRDefault="00DA3F79">
          <w:pPr>
            <w:pStyle w:val="Footer"/>
            <w:tabs>
              <w:tab w:val="clear" w:pos="4680"/>
              <w:tab w:val="clear" w:pos="9360"/>
            </w:tabs>
            <w:jc w:val="right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caps/>
              <w:color w:val="808080" w:themeColor="background1" w:themeShade="80"/>
            </w:rPr>
          </w:pPr>
          <w:r w:rsidRPr="00E37C73">
            <w:rPr>
              <w:caps/>
              <w:color w:val="000000" w:themeColor="text1"/>
            </w:rPr>
            <w:fldChar w:fldCharType="begin"/>
          </w:r>
          <w:r w:rsidRPr="00E37C73">
            <w:rPr>
              <w:caps/>
              <w:color w:val="000000" w:themeColor="text1"/>
            </w:rPr>
            <w:instrText xml:space="preserve"> PAGE   \* MERGEFORMAT </w:instrText>
          </w:r>
          <w:r w:rsidRPr="00E37C73">
            <w:rPr>
              <w:caps/>
              <w:color w:val="000000" w:themeColor="text1"/>
            </w:rPr>
            <w:fldChar w:fldCharType="separate"/>
          </w:r>
          <w:r w:rsidRPr="00E37C73">
            <w:rPr>
              <w:caps/>
              <w:noProof/>
              <w:color w:val="000000" w:themeColor="text1"/>
            </w:rPr>
            <w:t>2</w:t>
          </w:r>
          <w:r w:rsidRPr="00E37C73">
            <w:rPr>
              <w:caps/>
              <w:noProof/>
              <w:color w:val="000000" w:themeColor="text1"/>
            </w:rPr>
            <w:fldChar w:fldCharType="end"/>
          </w:r>
        </w:p>
      </w:tc>
    </w:tr>
  </w:tbl>
  <w:p w14:paraId="5110DC35" w14:textId="77777777" w:rsidR="00DA3F79" w:rsidRDefault="00DA3F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39070418"/>
      <w:docPartObj>
        <w:docPartGallery w:val="Page Numbers (Bottom of Page)"/>
        <w:docPartUnique/>
      </w:docPartObj>
    </w:sdtPr>
    <w:sdtEndPr>
      <w:rPr>
        <w:rStyle w:val="PageNumber"/>
        <w:color w:val="000000" w:themeColor="text1"/>
      </w:rPr>
    </w:sdtEndPr>
    <w:sdtContent>
      <w:p w14:paraId="3D7CE7A7" w14:textId="2839AE97" w:rsidR="00D245CB" w:rsidRDefault="00D245CB" w:rsidP="00992CB4">
        <w:pPr>
          <w:pStyle w:val="Footer"/>
          <w:framePr w:wrap="none" w:vAnchor="text" w:hAnchor="margin" w:xAlign="right" w:y="1"/>
          <w:spacing w:before="48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BDBF8CA" w14:textId="3470DF62" w:rsidR="00D245CB" w:rsidRDefault="00D245CB" w:rsidP="008655ED">
    <w:pPr>
      <w:pStyle w:val="Footer"/>
      <w:spacing w:before="240"/>
      <w:ind w:right="360"/>
    </w:pPr>
    <w:r>
      <w:rPr>
        <w:noProof/>
      </w:rPr>
      <mc:AlternateContent>
        <mc:Choice Requires="wps">
          <w:drawing>
            <wp:inline distT="0" distB="0" distL="0" distR="0" wp14:anchorId="401C4333" wp14:editId="2AE7497E">
              <wp:extent cx="5943600" cy="0"/>
              <wp:effectExtent l="0" t="38100" r="25400" b="38100"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1A448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0AB3F34E" id="Straight Connector 1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" strokecolor="#1a4480" strokeweight="6pt">
              <v:stroke joinstyle="miter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CB243" w14:textId="77777777" w:rsidR="00A46B6B" w:rsidRDefault="00A46B6B" w:rsidP="001776E0">
      <w:pPr>
        <w:spacing w:after="0" w:line="240" w:lineRule="auto"/>
      </w:pPr>
      <w:r>
        <w:separator/>
      </w:r>
    </w:p>
  </w:footnote>
  <w:footnote w:type="continuationSeparator" w:id="0">
    <w:p w14:paraId="4B55C7BA" w14:textId="77777777" w:rsidR="00A46B6B" w:rsidRDefault="00A46B6B" w:rsidP="00177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B81F3" w14:textId="260A2111" w:rsidR="001776E0" w:rsidRDefault="001776E0">
    <w:pPr>
      <w:pStyle w:val="Header"/>
    </w:pPr>
  </w:p>
  <w:p w14:paraId="4E8773E8" w14:textId="11A1A8F4" w:rsidR="001776E0" w:rsidRDefault="001776E0">
    <w:pPr>
      <w:pStyle w:val="Header"/>
    </w:pPr>
  </w:p>
  <w:p w14:paraId="1440C8DA" w14:textId="580E30E9" w:rsidR="001776E0" w:rsidRDefault="001776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56374" w14:textId="64768563" w:rsidR="00D41A4C" w:rsidRPr="00E9798D" w:rsidRDefault="008128A3" w:rsidP="00B12133">
    <w:pPr>
      <w:pStyle w:val="Header"/>
      <w:spacing w:before="440" w:after="240"/>
      <w:jc w:val="center"/>
      <w:rPr>
        <w:color w:val="ED7D31" w:themeColor="accent2"/>
      </w:rPr>
    </w:pPr>
    <w:r>
      <w:rPr>
        <w:noProof/>
      </w:rPr>
      <mc:AlternateContent>
        <mc:Choice Requires="wps">
          <w:drawing>
            <wp:inline distT="0" distB="0" distL="0" distR="0" wp14:anchorId="31E811F7" wp14:editId="0EFC85F9">
              <wp:extent cx="5924550" cy="431800"/>
              <wp:effectExtent l="0" t="0" r="19050" b="25400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4550" cy="4318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A52484" w14:textId="5EF67177" w:rsidR="008128A3" w:rsidRPr="007C45EE" w:rsidRDefault="007D09A3" w:rsidP="008128A3">
                          <w:pPr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t xml:space="preserve">Provider </w:t>
                          </w:r>
                          <w:r w:rsidR="008128A3"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t xml:space="preserve">Newsletter </w:t>
                          </w:r>
                          <w:r w:rsidR="00AD7CAB"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t>Content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1E811F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466.5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" fillcolor="#002060">
              <v:textbox>
                <w:txbxContent>
                  <w:p w14:paraId="12A52484" w14:textId="5EF67177" w:rsidR="008128A3" w:rsidRPr="007C45EE" w:rsidRDefault="007D09A3" w:rsidP="008128A3">
                    <w:pPr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color w:val="FFFFFF" w:themeColor="background1"/>
                        <w:sz w:val="40"/>
                        <w:szCs w:val="40"/>
                      </w:rPr>
                      <w:t xml:space="preserve">Provider </w:t>
                    </w:r>
                    <w:r w:rsidR="008128A3">
                      <w:rPr>
                        <w:color w:val="FFFFFF" w:themeColor="background1"/>
                        <w:sz w:val="40"/>
                        <w:szCs w:val="40"/>
                      </w:rPr>
                      <w:t xml:space="preserve">Newsletter </w:t>
                    </w:r>
                    <w:r w:rsidR="00AD7CAB">
                      <w:rPr>
                        <w:color w:val="FFFFFF" w:themeColor="background1"/>
                        <w:sz w:val="40"/>
                        <w:szCs w:val="40"/>
                      </w:rPr>
                      <w:t>Content</w:t>
                    </w:r>
                  </w:p>
                </w:txbxContent>
              </v:textbox>
              <w10:anchorlock/>
            </v:shape>
          </w:pict>
        </mc:Fallback>
      </mc:AlternateContent>
    </w:r>
    <w:r w:rsidR="00B12133" w:rsidRPr="00E9798D">
      <w:rPr>
        <w:noProof/>
        <w:color w:val="ED7D31" w:themeColor="accent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336E"/>
    <w:multiLevelType w:val="hybridMultilevel"/>
    <w:tmpl w:val="62D057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930A81"/>
    <w:multiLevelType w:val="hybridMultilevel"/>
    <w:tmpl w:val="63820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F3593"/>
    <w:multiLevelType w:val="hybridMultilevel"/>
    <w:tmpl w:val="24041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51E22"/>
    <w:multiLevelType w:val="hybridMultilevel"/>
    <w:tmpl w:val="85AA48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1531DA"/>
    <w:multiLevelType w:val="hybridMultilevel"/>
    <w:tmpl w:val="491E7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518A7"/>
    <w:multiLevelType w:val="hybridMultilevel"/>
    <w:tmpl w:val="80942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B60D4"/>
    <w:multiLevelType w:val="hybridMultilevel"/>
    <w:tmpl w:val="FF7E5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65A81"/>
    <w:multiLevelType w:val="hybridMultilevel"/>
    <w:tmpl w:val="AF665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6056F"/>
    <w:multiLevelType w:val="hybridMultilevel"/>
    <w:tmpl w:val="41885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213497"/>
    <w:multiLevelType w:val="hybridMultilevel"/>
    <w:tmpl w:val="6AB2A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4D65ED"/>
    <w:multiLevelType w:val="hybridMultilevel"/>
    <w:tmpl w:val="8A80D8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B23363"/>
    <w:multiLevelType w:val="hybridMultilevel"/>
    <w:tmpl w:val="74B84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665BE6"/>
    <w:multiLevelType w:val="hybridMultilevel"/>
    <w:tmpl w:val="84B6C1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4BB5A5D"/>
    <w:multiLevelType w:val="hybridMultilevel"/>
    <w:tmpl w:val="D2D01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9D7408"/>
    <w:multiLevelType w:val="hybridMultilevel"/>
    <w:tmpl w:val="6264F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F4F2D4D"/>
    <w:multiLevelType w:val="hybridMultilevel"/>
    <w:tmpl w:val="23C8F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81E3B"/>
    <w:multiLevelType w:val="hybridMultilevel"/>
    <w:tmpl w:val="E1F62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491E32"/>
    <w:multiLevelType w:val="hybridMultilevel"/>
    <w:tmpl w:val="18DAC8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C635C11"/>
    <w:multiLevelType w:val="hybridMultilevel"/>
    <w:tmpl w:val="91C22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10178E"/>
    <w:multiLevelType w:val="hybridMultilevel"/>
    <w:tmpl w:val="A2B21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7586037">
    <w:abstractNumId w:val="5"/>
  </w:num>
  <w:num w:numId="2" w16cid:durableId="542013846">
    <w:abstractNumId w:val="1"/>
  </w:num>
  <w:num w:numId="3" w16cid:durableId="1503471829">
    <w:abstractNumId w:val="11"/>
  </w:num>
  <w:num w:numId="4" w16cid:durableId="1473061443">
    <w:abstractNumId w:val="18"/>
  </w:num>
  <w:num w:numId="5" w16cid:durableId="903296525">
    <w:abstractNumId w:val="15"/>
  </w:num>
  <w:num w:numId="6" w16cid:durableId="1362128499">
    <w:abstractNumId w:val="13"/>
  </w:num>
  <w:num w:numId="7" w16cid:durableId="37242826">
    <w:abstractNumId w:val="17"/>
  </w:num>
  <w:num w:numId="8" w16cid:durableId="1376078303">
    <w:abstractNumId w:val="14"/>
  </w:num>
  <w:num w:numId="9" w16cid:durableId="774439903">
    <w:abstractNumId w:val="12"/>
  </w:num>
  <w:num w:numId="10" w16cid:durableId="1962762203">
    <w:abstractNumId w:val="0"/>
  </w:num>
  <w:num w:numId="11" w16cid:durableId="935674386">
    <w:abstractNumId w:val="3"/>
  </w:num>
  <w:num w:numId="12" w16cid:durableId="1471367377">
    <w:abstractNumId w:val="10"/>
  </w:num>
  <w:num w:numId="13" w16cid:durableId="1039626206">
    <w:abstractNumId w:val="6"/>
  </w:num>
  <w:num w:numId="14" w16cid:durableId="1182284406">
    <w:abstractNumId w:val="7"/>
  </w:num>
  <w:num w:numId="15" w16cid:durableId="2073698894">
    <w:abstractNumId w:val="9"/>
  </w:num>
  <w:num w:numId="16" w16cid:durableId="1207332700">
    <w:abstractNumId w:val="4"/>
  </w:num>
  <w:num w:numId="17" w16cid:durableId="377366114">
    <w:abstractNumId w:val="8"/>
  </w:num>
  <w:num w:numId="18" w16cid:durableId="1785080034">
    <w:abstractNumId w:val="16"/>
  </w:num>
  <w:num w:numId="19" w16cid:durableId="1877816727">
    <w:abstractNumId w:val="19"/>
  </w:num>
  <w:num w:numId="20" w16cid:durableId="9188311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6E0"/>
    <w:rsid w:val="0003473D"/>
    <w:rsid w:val="000C4699"/>
    <w:rsid w:val="00136428"/>
    <w:rsid w:val="0015358D"/>
    <w:rsid w:val="00153FAA"/>
    <w:rsid w:val="0016370D"/>
    <w:rsid w:val="001776E0"/>
    <w:rsid w:val="001F26CA"/>
    <w:rsid w:val="001F7DD4"/>
    <w:rsid w:val="002857CB"/>
    <w:rsid w:val="003C2576"/>
    <w:rsid w:val="003D3957"/>
    <w:rsid w:val="00415FDF"/>
    <w:rsid w:val="004D7901"/>
    <w:rsid w:val="00505E30"/>
    <w:rsid w:val="00563AF4"/>
    <w:rsid w:val="00603B07"/>
    <w:rsid w:val="006A651F"/>
    <w:rsid w:val="006E3442"/>
    <w:rsid w:val="00746A88"/>
    <w:rsid w:val="007D09A3"/>
    <w:rsid w:val="008028A8"/>
    <w:rsid w:val="008128A3"/>
    <w:rsid w:val="008420F2"/>
    <w:rsid w:val="008655ED"/>
    <w:rsid w:val="008B28B0"/>
    <w:rsid w:val="00992CB4"/>
    <w:rsid w:val="009C3DD8"/>
    <w:rsid w:val="009E3BAB"/>
    <w:rsid w:val="00A46B6B"/>
    <w:rsid w:val="00A56EA8"/>
    <w:rsid w:val="00AD7CAB"/>
    <w:rsid w:val="00B12133"/>
    <w:rsid w:val="00B16BA7"/>
    <w:rsid w:val="00B52AE0"/>
    <w:rsid w:val="00C013BE"/>
    <w:rsid w:val="00C432A6"/>
    <w:rsid w:val="00CC5623"/>
    <w:rsid w:val="00D245CB"/>
    <w:rsid w:val="00D41A4C"/>
    <w:rsid w:val="00D631ED"/>
    <w:rsid w:val="00DA3F79"/>
    <w:rsid w:val="00DE5221"/>
    <w:rsid w:val="00E37C73"/>
    <w:rsid w:val="00E9798D"/>
    <w:rsid w:val="00EF5A90"/>
    <w:rsid w:val="00F54E33"/>
    <w:rsid w:val="00F9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38DAF0"/>
  <w15:chartTrackingRefBased/>
  <w15:docId w15:val="{B2B4FDE2-DF3C-4DBD-A912-3B1AD69C5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AE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6E0"/>
  </w:style>
  <w:style w:type="paragraph" w:styleId="Footer">
    <w:name w:val="footer"/>
    <w:basedOn w:val="Normal"/>
    <w:link w:val="FooterChar"/>
    <w:uiPriority w:val="99"/>
    <w:unhideWhenUsed/>
    <w:rsid w:val="00177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6E0"/>
  </w:style>
  <w:style w:type="paragraph" w:styleId="ListParagraph">
    <w:name w:val="List Paragraph"/>
    <w:basedOn w:val="Normal"/>
    <w:uiPriority w:val="34"/>
    <w:qFormat/>
    <w:rsid w:val="00DA3F7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DA3F79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DA3F79"/>
    <w:rPr>
      <w:color w:val="808080"/>
    </w:rPr>
  </w:style>
  <w:style w:type="character" w:styleId="Hyperlink">
    <w:name w:val="Hyperlink"/>
    <w:unhideWhenUsed/>
    <w:rsid w:val="008420F2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245CB"/>
  </w:style>
  <w:style w:type="table" w:styleId="GridTable4-Accent1">
    <w:name w:val="Grid Table 4 Accent 1"/>
    <w:basedOn w:val="TableNormal"/>
    <w:uiPriority w:val="49"/>
    <w:rsid w:val="008655E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6">
    <w:name w:val="Grid Table 4 Accent 6"/>
    <w:basedOn w:val="TableNormal"/>
    <w:uiPriority w:val="49"/>
    <w:rsid w:val="008655E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128A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lehealth.hhs.gov/providers/telehealth-for-rural-areas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elehealth.hhs.gov/providers/telehealth-for-american-indian-communities/" TargetMode="External"/><Relationship Id="rId12" Type="http://schemas.openxmlformats.org/officeDocument/2006/relationships/hyperlink" Target="https://telehealth.hhs.gov/providers/telehealth-for-chronic-conditions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h-site-downloads.s3.us-east-2.amazonaws.com/Telehealth_Workflow_07-15-2021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telehealth.hhs.gov/es/proveedores/guias-de-mejores-practica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lehealth.hhs.gov/providers/best-practice-guid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HRSA Telehealth Patient Newsletter Article</vt:lpstr>
    </vt:vector>
  </TitlesOfParts>
  <Manager/>
  <Company>Health Resources &amp; Services Administration</Company>
  <LinksUpToDate>false</LinksUpToDate>
  <CharactersWithSpaces>1462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HRSA Telehealth Patient Newsletter Article</dc:title>
  <dc:subject/>
  <dc:creator>Health Resources &amp; Services Administration</dc:creator>
  <cp:keywords>Patients, newsletter, telehealth, Telehealth.HHS.gov, telehealth tips, telehealth 101, options for telehealth, finding telehealth options, preparing for a virtual visit</cp:keywords>
  <dc:description/>
  <cp:lastModifiedBy>Zana</cp:lastModifiedBy>
  <cp:revision>2</cp:revision>
  <dcterms:created xsi:type="dcterms:W3CDTF">2022-07-21T21:17:00Z</dcterms:created>
  <dcterms:modified xsi:type="dcterms:W3CDTF">2022-07-21T21:17:00Z</dcterms:modified>
  <cp:category/>
</cp:coreProperties>
</file>